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8AD2" w14:textId="77777777" w:rsidR="000215E3" w:rsidRDefault="000215E3" w:rsidP="000215E3">
      <w:pPr>
        <w:pStyle w:val="Heading1"/>
        <w:shd w:val="clear" w:color="auto" w:fill="FFFFFF"/>
        <w:spacing w:before="300" w:beforeAutospacing="0" w:after="150" w:afterAutospacing="0"/>
        <w:textAlignment w:val="center"/>
        <w:rPr>
          <w:rFonts w:ascii="Source Sans Pro" w:eastAsia="Times New Roman" w:hAnsi="Source Sans Pro"/>
          <w:b w:val="0"/>
          <w:bCs w:val="0"/>
          <w:color w:val="333333"/>
          <w:sz w:val="54"/>
          <w:szCs w:val="54"/>
        </w:rPr>
      </w:pPr>
      <w:r>
        <w:rPr>
          <w:rFonts w:ascii="Source Sans Pro" w:eastAsia="Times New Roman" w:hAnsi="Source Sans Pro"/>
          <w:b w:val="0"/>
          <w:bCs w:val="0"/>
          <w:color w:val="333333"/>
          <w:sz w:val="54"/>
          <w:szCs w:val="54"/>
        </w:rPr>
        <w:t>5 Tips to Follow to Upskill Midcareer Workers</w:t>
      </w:r>
    </w:p>
    <w:p w14:paraId="637088CE" w14:textId="77777777" w:rsidR="000215E3" w:rsidRDefault="000215E3" w:rsidP="000215E3">
      <w:pPr>
        <w:pStyle w:val="Heading2"/>
        <w:shd w:val="clear" w:color="auto" w:fill="FFFFFF"/>
        <w:spacing w:before="300" w:beforeAutospacing="0" w:after="150" w:afterAutospacing="0"/>
        <w:textAlignment w:val="center"/>
        <w:rPr>
          <w:rFonts w:ascii="Source Sans Pro" w:eastAsia="Times New Roman" w:hAnsi="Source Sans Pro"/>
          <w:b w:val="0"/>
          <w:bCs w:val="0"/>
          <w:color w:val="333333"/>
          <w:sz w:val="45"/>
          <w:szCs w:val="45"/>
        </w:rPr>
      </w:pPr>
      <w:r>
        <w:rPr>
          <w:rFonts w:ascii="Source Sans Pro" w:eastAsia="Times New Roman" w:hAnsi="Source Sans Pro"/>
          <w:b w:val="0"/>
          <w:bCs w:val="0"/>
          <w:color w:val="333333"/>
          <w:sz w:val="45"/>
          <w:szCs w:val="45"/>
        </w:rPr>
        <w:t>Ensuring that all employees receive professional development opportunities can benefit your business</w:t>
      </w:r>
    </w:p>
    <w:p w14:paraId="6F3D43F7" w14:textId="77777777" w:rsidR="000215E3" w:rsidRDefault="000215E3" w:rsidP="000215E3">
      <w:pPr>
        <w:pStyle w:val="Heading5"/>
        <w:shd w:val="clear" w:color="auto" w:fill="FFFFFF"/>
        <w:spacing w:before="150" w:beforeAutospacing="0" w:after="150" w:afterAutospacing="0"/>
        <w:rPr>
          <w:rFonts w:ascii="Source Sans Pro" w:eastAsia="Times New Roman" w:hAnsi="Source Sans Pro"/>
          <w:b w:val="0"/>
          <w:bCs w:val="0"/>
          <w:color w:val="333333"/>
          <w:sz w:val="21"/>
          <w:szCs w:val="21"/>
        </w:rPr>
      </w:pPr>
      <w:r>
        <w:rPr>
          <w:rFonts w:ascii="Source Sans Pro" w:eastAsia="Times New Roman" w:hAnsi="Source Sans Pro"/>
          <w:b w:val="0"/>
          <w:bCs w:val="0"/>
          <w:color w:val="333333"/>
          <w:sz w:val="21"/>
          <w:szCs w:val="21"/>
        </w:rPr>
        <w:t>by Heather Tinsley-Fix, AARP, September 17, 2021</w:t>
      </w:r>
    </w:p>
    <w:p w14:paraId="1C65419C" w14:textId="20AA8B42" w:rsidR="000215E3" w:rsidRDefault="000215E3" w:rsidP="000215E3">
      <w:pPr>
        <w:rPr>
          <w:rFonts w:eastAsia="Times New Roman"/>
          <w:color w:val="000000"/>
          <w:sz w:val="24"/>
          <w:szCs w:val="24"/>
        </w:rPr>
      </w:pPr>
      <w:r>
        <w:rPr>
          <w:rFonts w:eastAsia="Times New Roman"/>
          <w:noProof/>
          <w:color w:val="000000"/>
          <w:sz w:val="24"/>
          <w:szCs w:val="24"/>
        </w:rPr>
        <w:drawing>
          <wp:inline distT="0" distB="0" distL="0" distR="0" wp14:anchorId="7695669D" wp14:editId="47018726">
            <wp:extent cx="4763135" cy="3141980"/>
            <wp:effectExtent l="0" t="0" r="0" b="1270"/>
            <wp:docPr id="1" name="Picture 1" descr="A group of people sitting in a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sitting in a confer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141980"/>
                    </a:xfrm>
                    <a:prstGeom prst="rect">
                      <a:avLst/>
                    </a:prstGeom>
                    <a:noFill/>
                    <a:ln>
                      <a:noFill/>
                    </a:ln>
                  </pic:spPr>
                </pic:pic>
              </a:graphicData>
            </a:graphic>
          </wp:inline>
        </w:drawing>
      </w:r>
      <w:r>
        <w:rPr>
          <w:rFonts w:ascii="Source Sans Pro" w:eastAsia="Times New Roman" w:hAnsi="Source Sans Pro"/>
          <w:color w:val="333333"/>
          <w:sz w:val="24"/>
          <w:szCs w:val="24"/>
        </w:rPr>
        <w:br/>
      </w:r>
      <w:r>
        <w:rPr>
          <w:rFonts w:ascii="Source Sans Pro" w:eastAsia="Times New Roman" w:hAnsi="Source Sans Pro"/>
          <w:color w:val="333333"/>
          <w:sz w:val="24"/>
          <w:szCs w:val="24"/>
          <w:shd w:val="clear" w:color="auto" w:fill="FFFFFF"/>
        </w:rPr>
        <w:t>Getty Images</w:t>
      </w:r>
      <w:r>
        <w:rPr>
          <w:rFonts w:ascii="Source Sans Pro" w:eastAsia="Times New Roman" w:hAnsi="Source Sans Pro"/>
          <w:color w:val="333333"/>
          <w:sz w:val="24"/>
          <w:szCs w:val="24"/>
        </w:rPr>
        <w:br/>
      </w:r>
      <w:r>
        <w:rPr>
          <w:rFonts w:ascii="Source Sans Pro" w:eastAsia="Times New Roman" w:hAnsi="Source Sans Pro"/>
          <w:color w:val="333333"/>
          <w:sz w:val="24"/>
          <w:szCs w:val="24"/>
        </w:rPr>
        <w:br/>
      </w:r>
      <w:hyperlink r:id="rId6" w:tgtFrame="_blank" w:history="1">
        <w:proofErr w:type="spellStart"/>
        <w:r>
          <w:rPr>
            <w:rStyle w:val="Hyperlink"/>
            <w:rFonts w:ascii="Source Sans Pro" w:eastAsia="Times New Roman" w:hAnsi="Source Sans Pro"/>
            <w:color w:val="2E6DA4"/>
            <w:sz w:val="24"/>
            <w:szCs w:val="24"/>
            <w:shd w:val="clear" w:color="auto" w:fill="FFFFFF"/>
          </w:rPr>
          <w:t>En</w:t>
        </w:r>
        <w:proofErr w:type="spellEnd"/>
        <w:r>
          <w:rPr>
            <w:rStyle w:val="Hyperlink"/>
            <w:rFonts w:ascii="Source Sans Pro" w:eastAsia="Times New Roman" w:hAnsi="Source Sans Pro"/>
            <w:color w:val="2E6DA4"/>
            <w:sz w:val="24"/>
            <w:szCs w:val="24"/>
            <w:shd w:val="clear" w:color="auto" w:fill="FFFFFF"/>
          </w:rPr>
          <w:t xml:space="preserve"> </w:t>
        </w:r>
        <w:proofErr w:type="spellStart"/>
        <w:r>
          <w:rPr>
            <w:rStyle w:val="Hyperlink"/>
            <w:rFonts w:ascii="Source Sans Pro" w:eastAsia="Times New Roman" w:hAnsi="Source Sans Pro"/>
            <w:color w:val="2E6DA4"/>
            <w:sz w:val="24"/>
            <w:szCs w:val="24"/>
            <w:shd w:val="clear" w:color="auto" w:fill="FFFFFF"/>
          </w:rPr>
          <w:t>español</w:t>
        </w:r>
        <w:proofErr w:type="spellEnd"/>
      </w:hyperlink>
      <w:r>
        <w:rPr>
          <w:rFonts w:ascii="Source Sans Pro" w:eastAsia="Times New Roman" w:hAnsi="Source Sans Pro"/>
          <w:color w:val="333333"/>
          <w:sz w:val="24"/>
          <w:szCs w:val="24"/>
          <w:shd w:val="clear" w:color="auto" w:fill="FFFFFF"/>
        </w:rPr>
        <w:t> | The </w:t>
      </w:r>
      <w:hyperlink r:id="rId7" w:tgtFrame="_blank" w:history="1">
        <w:r>
          <w:rPr>
            <w:rStyle w:val="Hyperlink"/>
            <w:rFonts w:ascii="Source Sans Pro" w:eastAsia="Times New Roman" w:hAnsi="Source Sans Pro"/>
            <w:color w:val="2E6DA4"/>
            <w:sz w:val="24"/>
            <w:szCs w:val="24"/>
            <w:shd w:val="clear" w:color="auto" w:fill="FFFFFF"/>
          </w:rPr>
          <w:t>COVID-19 global health crisis</w:t>
        </w:r>
      </w:hyperlink>
      <w:r>
        <w:rPr>
          <w:rFonts w:ascii="Source Sans Pro" w:eastAsia="Times New Roman" w:hAnsi="Source Sans Pro"/>
          <w:color w:val="333333"/>
          <w:sz w:val="24"/>
          <w:szCs w:val="24"/>
          <w:shd w:val="clear" w:color="auto" w:fill="FFFFFF"/>
        </w:rPr>
        <w:t> has upended the way we live, work and learn, and has accelerated trends relating to the future of work by creating an increased rationale for automation. At the same time, the demand for skilled workers is providing the workforce with leverage to seek jobs with the flexibility and growth opportunities they desire. All these trends call for a renewed commitment from business leaders to support upskilling and reskilling opportunities within their existing workforce. The good news is that </w:t>
      </w:r>
      <w:hyperlink r:id="rId8" w:tgtFrame="_blank" w:history="1">
        <w:r>
          <w:rPr>
            <w:rStyle w:val="Hyperlink"/>
            <w:rFonts w:ascii="Source Sans Pro" w:eastAsia="Times New Roman" w:hAnsi="Source Sans Pro"/>
            <w:color w:val="2E6DA4"/>
            <w:sz w:val="24"/>
            <w:szCs w:val="24"/>
            <w:shd w:val="clear" w:color="auto" w:fill="FFFFFF"/>
          </w:rPr>
          <w:t>upskilling and reskilling programs</w:t>
        </w:r>
      </w:hyperlink>
      <w:r>
        <w:rPr>
          <w:rFonts w:ascii="Source Sans Pro" w:eastAsia="Times New Roman" w:hAnsi="Source Sans Pro"/>
          <w:color w:val="333333"/>
          <w:sz w:val="24"/>
          <w:szCs w:val="24"/>
          <w:shd w:val="clear" w:color="auto" w:fill="FFFFFF"/>
        </w:rPr>
        <w:t> not only foster an agile, adaptable business environment, but also save organizations thousands of dollars in recruiting and onboarding costs each year.</w:t>
      </w:r>
      <w:r>
        <w:rPr>
          <w:rFonts w:ascii="Source Sans Pro" w:eastAsia="Times New Roman" w:hAnsi="Source Sans Pro"/>
          <w:color w:val="333333"/>
          <w:sz w:val="24"/>
          <w:szCs w:val="24"/>
        </w:rPr>
        <w:br/>
      </w:r>
      <w:r>
        <w:rPr>
          <w:rFonts w:ascii="Source Sans Pro" w:eastAsia="Times New Roman" w:hAnsi="Source Sans Pro"/>
          <w:color w:val="333333"/>
          <w:sz w:val="24"/>
          <w:szCs w:val="24"/>
        </w:rPr>
        <w:br/>
      </w:r>
      <w:r>
        <w:rPr>
          <w:rFonts w:ascii="Source Sans Pro" w:eastAsia="Times New Roman" w:hAnsi="Source Sans Pro"/>
          <w:color w:val="333333"/>
          <w:sz w:val="24"/>
          <w:szCs w:val="24"/>
          <w:shd w:val="clear" w:color="auto" w:fill="FFFFFF"/>
        </w:rPr>
        <w:t>While the shift toward greater automation requires employees with cutting edge technology skills, another skill segment that is growing in demand emphasizes soft skills such as problem solving, critical thinking, relationship building, empathy, coaching and mentoring. These uniquely human capabilities take time to develop and are present in much of the 50-plus segment of the workforce. Due to the high correlation between older workers and soft skills, it’s sensible to build a multigenerational workforce with a culture that facilitates intergenerational learning, knowledge sharing, and mentoring.</w:t>
      </w:r>
      <w:r>
        <w:rPr>
          <w:rFonts w:ascii="Source Sans Pro" w:eastAsia="Times New Roman" w:hAnsi="Source Sans Pro"/>
          <w:color w:val="333333"/>
          <w:sz w:val="24"/>
          <w:szCs w:val="24"/>
        </w:rPr>
        <w:br/>
      </w:r>
      <w:r>
        <w:rPr>
          <w:rFonts w:ascii="Source Sans Pro" w:eastAsia="Times New Roman" w:hAnsi="Source Sans Pro"/>
          <w:color w:val="333333"/>
          <w:sz w:val="24"/>
          <w:szCs w:val="24"/>
        </w:rPr>
        <w:br/>
      </w:r>
      <w:r>
        <w:rPr>
          <w:rFonts w:ascii="Source Sans Pro" w:eastAsia="Times New Roman" w:hAnsi="Source Sans Pro"/>
          <w:color w:val="333333"/>
          <w:sz w:val="24"/>
          <w:szCs w:val="24"/>
          <w:shd w:val="clear" w:color="auto" w:fill="FFFFFF"/>
        </w:rPr>
        <w:t>While providing training to the younger segments of the workforce seems like a no-brainer, midcareer and late-career workers also can prove to be a </w:t>
      </w:r>
      <w:hyperlink r:id="rId9" w:tgtFrame="_blank" w:history="1">
        <w:r>
          <w:rPr>
            <w:rStyle w:val="Hyperlink"/>
            <w:rFonts w:ascii="Source Sans Pro" w:eastAsia="Times New Roman" w:hAnsi="Source Sans Pro"/>
            <w:color w:val="2E6DA4"/>
            <w:sz w:val="24"/>
            <w:szCs w:val="24"/>
            <w:shd w:val="clear" w:color="auto" w:fill="FFFFFF"/>
          </w:rPr>
          <w:t>huge boon to organizations that invest in reskilling and redeploying</w:t>
        </w:r>
      </w:hyperlink>
      <w:r>
        <w:rPr>
          <w:rFonts w:ascii="Source Sans Pro" w:eastAsia="Times New Roman" w:hAnsi="Source Sans Pro"/>
          <w:color w:val="333333"/>
          <w:sz w:val="24"/>
          <w:szCs w:val="24"/>
          <w:shd w:val="clear" w:color="auto" w:fill="FFFFFF"/>
        </w:rPr>
        <w:t> them based on the wealth of soft skills and institutional knowledge they bring to the table. Given the potential for conversations around upskilling to be perceived as a veiled attempt to sideline or push out experienced workers — particularly if the roles they occupy are becoming obsolete — it’s important to develop an approach that sets the right tone and conveys the information in a nonthreatening way.</w:t>
      </w:r>
      <w:r>
        <w:rPr>
          <w:rFonts w:ascii="Source Sans Pro" w:eastAsia="Times New Roman" w:hAnsi="Source Sans Pro"/>
          <w:color w:val="333333"/>
          <w:sz w:val="24"/>
          <w:szCs w:val="24"/>
        </w:rPr>
        <w:br/>
      </w:r>
      <w:r>
        <w:rPr>
          <w:rFonts w:ascii="Source Sans Pro" w:eastAsia="Times New Roman" w:hAnsi="Source Sans Pro"/>
          <w:color w:val="333333"/>
          <w:sz w:val="24"/>
          <w:szCs w:val="24"/>
        </w:rPr>
        <w:br/>
      </w:r>
      <w:r>
        <w:rPr>
          <w:rFonts w:ascii="Source Sans Pro" w:eastAsia="Times New Roman" w:hAnsi="Source Sans Pro"/>
          <w:color w:val="333333"/>
          <w:sz w:val="24"/>
          <w:szCs w:val="24"/>
          <w:shd w:val="clear" w:color="auto" w:fill="FFFFFF"/>
        </w:rPr>
        <w:t>Here are five principles to follow when discussing upskilling opportunities with midcareer and late-career workers:</w:t>
      </w:r>
      <w:r>
        <w:rPr>
          <w:rFonts w:ascii="Source Sans Pro" w:eastAsia="Times New Roman" w:hAnsi="Source Sans Pro"/>
          <w:color w:val="333333"/>
          <w:sz w:val="24"/>
          <w:szCs w:val="24"/>
        </w:rPr>
        <w:br/>
      </w:r>
      <w:r>
        <w:rPr>
          <w:rFonts w:ascii="Source Sans Pro" w:eastAsia="Times New Roman" w:hAnsi="Source Sans Pro"/>
          <w:color w:val="333333"/>
          <w:sz w:val="24"/>
          <w:szCs w:val="24"/>
        </w:rPr>
        <w:br/>
      </w:r>
    </w:p>
    <w:p w14:paraId="7392C048" w14:textId="77777777" w:rsidR="000215E3" w:rsidRDefault="000215E3" w:rsidP="000215E3">
      <w:pPr>
        <w:numPr>
          <w:ilvl w:val="0"/>
          <w:numId w:val="1"/>
        </w:numPr>
        <w:shd w:val="clear" w:color="auto" w:fill="FFFFFF"/>
        <w:spacing w:before="100" w:beforeAutospacing="1" w:after="100" w:afterAutospacing="1"/>
        <w:rPr>
          <w:rFonts w:ascii="Source Sans Pro" w:eastAsia="Times New Roman" w:hAnsi="Source Sans Pro"/>
          <w:color w:val="333333"/>
          <w:sz w:val="24"/>
          <w:szCs w:val="24"/>
        </w:rPr>
      </w:pPr>
      <w:r>
        <w:rPr>
          <w:rStyle w:val="Strong"/>
          <w:rFonts w:ascii="Source Sans Pro" w:eastAsia="Times New Roman" w:hAnsi="Source Sans Pro"/>
          <w:color w:val="333333"/>
          <w:sz w:val="24"/>
          <w:szCs w:val="24"/>
        </w:rPr>
        <w:t>Be respectful</w:t>
      </w:r>
      <w:r>
        <w:rPr>
          <w:rFonts w:ascii="Source Sans Pro" w:eastAsia="Times New Roman" w:hAnsi="Source Sans Pro"/>
          <w:color w:val="333333"/>
          <w:sz w:val="24"/>
          <w:szCs w:val="24"/>
        </w:rPr>
        <w:t xml:space="preserve">. Start by recognizing the skills, </w:t>
      </w:r>
      <w:proofErr w:type="gramStart"/>
      <w:r>
        <w:rPr>
          <w:rFonts w:ascii="Source Sans Pro" w:eastAsia="Times New Roman" w:hAnsi="Source Sans Pro"/>
          <w:color w:val="333333"/>
          <w:sz w:val="24"/>
          <w:szCs w:val="24"/>
        </w:rPr>
        <w:t>experience</w:t>
      </w:r>
      <w:proofErr w:type="gramEnd"/>
      <w:r>
        <w:rPr>
          <w:rFonts w:ascii="Source Sans Pro" w:eastAsia="Times New Roman" w:hAnsi="Source Sans Pro"/>
          <w:color w:val="333333"/>
          <w:sz w:val="24"/>
          <w:szCs w:val="24"/>
        </w:rPr>
        <w:t xml:space="preserve"> and institutional knowledge that many older workers already have. The ability to make sound decisions, think critically and remember how and why things used to be done a certain way are </w:t>
      </w:r>
      <w:proofErr w:type="gramStart"/>
      <w:r>
        <w:rPr>
          <w:rFonts w:ascii="Source Sans Pro" w:eastAsia="Times New Roman" w:hAnsi="Source Sans Pro"/>
          <w:color w:val="333333"/>
          <w:sz w:val="24"/>
          <w:szCs w:val="24"/>
        </w:rPr>
        <w:t>actually helpful</w:t>
      </w:r>
      <w:proofErr w:type="gramEnd"/>
      <w:r>
        <w:rPr>
          <w:rFonts w:ascii="Source Sans Pro" w:eastAsia="Times New Roman" w:hAnsi="Source Sans Pro"/>
          <w:color w:val="333333"/>
          <w:sz w:val="24"/>
          <w:szCs w:val="24"/>
        </w:rPr>
        <w:t xml:space="preserve"> in crafting new approaches. Position reskilling and upskilling as chances to add, rather than subtract, skills.</w:t>
      </w:r>
    </w:p>
    <w:p w14:paraId="5FE7765A" w14:textId="77777777" w:rsidR="000215E3" w:rsidRDefault="000215E3" w:rsidP="000215E3">
      <w:pPr>
        <w:numPr>
          <w:ilvl w:val="0"/>
          <w:numId w:val="1"/>
        </w:numPr>
        <w:shd w:val="clear" w:color="auto" w:fill="FFFFFF"/>
        <w:spacing w:before="100" w:beforeAutospacing="1" w:after="100" w:afterAutospacing="1"/>
        <w:rPr>
          <w:rFonts w:ascii="Source Sans Pro" w:eastAsia="Times New Roman" w:hAnsi="Source Sans Pro"/>
          <w:color w:val="333333"/>
          <w:sz w:val="24"/>
          <w:szCs w:val="24"/>
        </w:rPr>
      </w:pPr>
      <w:r>
        <w:rPr>
          <w:rStyle w:val="Strong"/>
          <w:rFonts w:ascii="Source Sans Pro" w:eastAsia="Times New Roman" w:hAnsi="Source Sans Pro"/>
          <w:color w:val="333333"/>
          <w:sz w:val="24"/>
          <w:szCs w:val="24"/>
        </w:rPr>
        <w:t>Be collaborative</w:t>
      </w:r>
      <w:r>
        <w:rPr>
          <w:rFonts w:ascii="Source Sans Pro" w:eastAsia="Times New Roman" w:hAnsi="Source Sans Pro"/>
          <w:color w:val="333333"/>
          <w:sz w:val="24"/>
          <w:szCs w:val="24"/>
        </w:rPr>
        <w:t>. Ask midcareer and late-career workers if they are interested in developing any of the new skills the organization most needs. Do they want to move into an adjacent area, or one that is completely different? How much of their existing duties do they want to keep, and what emerging capabilities or roles do they want to grow into? Though you may not always be able to craft the exact career path that every employee wants, approaching the conversation as a process of cocreation helps achieve buy-in, enthusiasm and engagement.</w:t>
      </w:r>
    </w:p>
    <w:p w14:paraId="4DB43FA0" w14:textId="77777777" w:rsidR="000215E3" w:rsidRDefault="000215E3" w:rsidP="000215E3">
      <w:pPr>
        <w:numPr>
          <w:ilvl w:val="0"/>
          <w:numId w:val="1"/>
        </w:numPr>
        <w:shd w:val="clear" w:color="auto" w:fill="FFFFFF"/>
        <w:spacing w:before="100" w:beforeAutospacing="1" w:after="100" w:afterAutospacing="1"/>
        <w:rPr>
          <w:rFonts w:ascii="Source Sans Pro" w:eastAsia="Times New Roman" w:hAnsi="Source Sans Pro"/>
          <w:color w:val="333333"/>
          <w:sz w:val="24"/>
          <w:szCs w:val="24"/>
        </w:rPr>
      </w:pPr>
      <w:r>
        <w:rPr>
          <w:rStyle w:val="Strong"/>
          <w:rFonts w:ascii="Source Sans Pro" w:eastAsia="Times New Roman" w:hAnsi="Source Sans Pro"/>
          <w:color w:val="333333"/>
          <w:sz w:val="24"/>
          <w:szCs w:val="24"/>
        </w:rPr>
        <w:t>Be transparent</w:t>
      </w:r>
      <w:r>
        <w:rPr>
          <w:rFonts w:ascii="Source Sans Pro" w:eastAsia="Times New Roman" w:hAnsi="Source Sans Pro"/>
          <w:color w:val="333333"/>
          <w:sz w:val="24"/>
          <w:szCs w:val="24"/>
        </w:rPr>
        <w:t xml:space="preserve">. Be straightforward and up-front with the reasons you are offering these opportunities to reskill. If some or </w:t>
      </w:r>
      <w:proofErr w:type="gramStart"/>
      <w:r>
        <w:rPr>
          <w:rFonts w:ascii="Source Sans Pro" w:eastAsia="Times New Roman" w:hAnsi="Source Sans Pro"/>
          <w:color w:val="333333"/>
          <w:sz w:val="24"/>
          <w:szCs w:val="24"/>
        </w:rPr>
        <w:t>all of</w:t>
      </w:r>
      <w:proofErr w:type="gramEnd"/>
      <w:r>
        <w:rPr>
          <w:rFonts w:ascii="Source Sans Pro" w:eastAsia="Times New Roman" w:hAnsi="Source Sans Pro"/>
          <w:color w:val="333333"/>
          <w:sz w:val="24"/>
          <w:szCs w:val="24"/>
        </w:rPr>
        <w:t xml:space="preserve"> the employee’s job tasks are being automated or are simply no longer needed, tell them this and explain that while the tasks or roles are going away, you want to keep them as valuable workers. Or, if you’ve targeted certain employees for their transferrable skills and want to utilize them in new ways, say that, too. Answer their questions with as much information as you can.</w:t>
      </w:r>
    </w:p>
    <w:p w14:paraId="16F9AA4E" w14:textId="77777777" w:rsidR="000215E3" w:rsidRDefault="000215E3" w:rsidP="000215E3">
      <w:pPr>
        <w:numPr>
          <w:ilvl w:val="0"/>
          <w:numId w:val="1"/>
        </w:numPr>
        <w:shd w:val="clear" w:color="auto" w:fill="FFFFFF"/>
        <w:spacing w:before="100" w:beforeAutospacing="1" w:after="100" w:afterAutospacing="1"/>
        <w:rPr>
          <w:rFonts w:ascii="Source Sans Pro" w:eastAsia="Times New Roman" w:hAnsi="Source Sans Pro"/>
          <w:color w:val="333333"/>
          <w:sz w:val="24"/>
          <w:szCs w:val="24"/>
        </w:rPr>
      </w:pPr>
      <w:r>
        <w:rPr>
          <w:rStyle w:val="Strong"/>
          <w:rFonts w:ascii="Source Sans Pro" w:eastAsia="Times New Roman" w:hAnsi="Source Sans Pro"/>
          <w:color w:val="333333"/>
          <w:sz w:val="24"/>
          <w:szCs w:val="24"/>
        </w:rPr>
        <w:t>Be supportive</w:t>
      </w:r>
      <w:r>
        <w:rPr>
          <w:rFonts w:ascii="Source Sans Pro" w:eastAsia="Times New Roman" w:hAnsi="Source Sans Pro"/>
          <w:color w:val="333333"/>
          <w:sz w:val="24"/>
          <w:szCs w:val="24"/>
        </w:rPr>
        <w:t xml:space="preserve">. Many midcareer workers are in the busiest life stage in terms of caring for children and elders, managing </w:t>
      </w:r>
      <w:proofErr w:type="gramStart"/>
      <w:r>
        <w:rPr>
          <w:rFonts w:ascii="Source Sans Pro" w:eastAsia="Times New Roman" w:hAnsi="Source Sans Pro"/>
          <w:color w:val="333333"/>
          <w:sz w:val="24"/>
          <w:szCs w:val="24"/>
        </w:rPr>
        <w:t>teams</w:t>
      </w:r>
      <w:proofErr w:type="gramEnd"/>
      <w:r>
        <w:rPr>
          <w:rFonts w:ascii="Source Sans Pro" w:eastAsia="Times New Roman" w:hAnsi="Source Sans Pro"/>
          <w:color w:val="333333"/>
          <w:sz w:val="24"/>
          <w:szCs w:val="24"/>
        </w:rPr>
        <w:t xml:space="preserve"> and juggling multiple work priorities. Acknowledge these responsibilities. Practice empathetic </w:t>
      </w:r>
      <w:proofErr w:type="gramStart"/>
      <w:r>
        <w:rPr>
          <w:rFonts w:ascii="Source Sans Pro" w:eastAsia="Times New Roman" w:hAnsi="Source Sans Pro"/>
          <w:color w:val="333333"/>
          <w:sz w:val="24"/>
          <w:szCs w:val="24"/>
        </w:rPr>
        <w:t>leadership, and</w:t>
      </w:r>
      <w:proofErr w:type="gramEnd"/>
      <w:r>
        <w:rPr>
          <w:rFonts w:ascii="Source Sans Pro" w:eastAsia="Times New Roman" w:hAnsi="Source Sans Pro"/>
          <w:color w:val="333333"/>
          <w:sz w:val="24"/>
          <w:szCs w:val="24"/>
        </w:rPr>
        <w:t xml:space="preserve"> provide the flexibility busy employees need to take on the task of learning new skills. Can you reassign or lower the priority of some of their current projects? Can you temporarily move them to a different role within the team? Challenge them to take advantage of these opportunities and ask what you can do to give them the greatest chance of success.</w:t>
      </w:r>
    </w:p>
    <w:p w14:paraId="03072943" w14:textId="77777777" w:rsidR="000215E3" w:rsidRDefault="000215E3" w:rsidP="000215E3">
      <w:pPr>
        <w:numPr>
          <w:ilvl w:val="0"/>
          <w:numId w:val="1"/>
        </w:numPr>
        <w:shd w:val="clear" w:color="auto" w:fill="FFFFFF"/>
        <w:spacing w:before="100" w:beforeAutospacing="1" w:after="100" w:afterAutospacing="1"/>
        <w:rPr>
          <w:rFonts w:ascii="Source Sans Pro" w:eastAsia="Times New Roman" w:hAnsi="Source Sans Pro"/>
          <w:color w:val="333333"/>
          <w:sz w:val="24"/>
          <w:szCs w:val="24"/>
        </w:rPr>
      </w:pPr>
      <w:r>
        <w:rPr>
          <w:rStyle w:val="Strong"/>
          <w:rFonts w:ascii="Source Sans Pro" w:eastAsia="Times New Roman" w:hAnsi="Source Sans Pro"/>
          <w:color w:val="333333"/>
          <w:sz w:val="24"/>
          <w:szCs w:val="24"/>
        </w:rPr>
        <w:t>Don’t assume</w:t>
      </w:r>
      <w:r>
        <w:rPr>
          <w:rFonts w:ascii="Source Sans Pro" w:eastAsia="Times New Roman" w:hAnsi="Source Sans Pro"/>
          <w:color w:val="333333"/>
          <w:sz w:val="24"/>
          <w:szCs w:val="24"/>
        </w:rPr>
        <w:t xml:space="preserve">. Despite ample evidence to the contrary, many stereotypes about older workers persist, so it’s important to check your own potential for bias before starting a conversation. Research shows that productivity, </w:t>
      </w:r>
      <w:proofErr w:type="gramStart"/>
      <w:r>
        <w:rPr>
          <w:rFonts w:ascii="Source Sans Pro" w:eastAsia="Times New Roman" w:hAnsi="Source Sans Pro"/>
          <w:color w:val="333333"/>
          <w:sz w:val="24"/>
          <w:szCs w:val="24"/>
        </w:rPr>
        <w:t>engagement</w:t>
      </w:r>
      <w:proofErr w:type="gramEnd"/>
      <w:r>
        <w:rPr>
          <w:rFonts w:ascii="Source Sans Pro" w:eastAsia="Times New Roman" w:hAnsi="Source Sans Pro"/>
          <w:color w:val="333333"/>
          <w:sz w:val="24"/>
          <w:szCs w:val="24"/>
        </w:rPr>
        <w:t xml:space="preserve"> and motivation increase with age, as does older workers’ interest in learning new skills. Lead with questions and stay open to what employees say they want or are interested in. Steering them away from the opportunity to join a coding bootcamp, for example, reveals a hidden bias.</w:t>
      </w:r>
    </w:p>
    <w:p w14:paraId="44C6A849" w14:textId="77777777" w:rsidR="000215E3" w:rsidRDefault="000215E3" w:rsidP="000215E3">
      <w:pPr>
        <w:rPr>
          <w:rFonts w:eastAsia="Times New Roman"/>
          <w:color w:val="000000"/>
          <w:sz w:val="24"/>
          <w:szCs w:val="24"/>
        </w:rPr>
      </w:pPr>
      <w:r>
        <w:rPr>
          <w:rFonts w:ascii="Source Sans Pro" w:eastAsia="Times New Roman" w:hAnsi="Source Sans Pro"/>
          <w:color w:val="333333"/>
          <w:sz w:val="24"/>
          <w:szCs w:val="24"/>
          <w:shd w:val="clear" w:color="auto" w:fill="FFFFFF"/>
        </w:rPr>
        <w:t>The business case for upskilling and reskilling your existing workforce across the age spectrum has never been stronger. The ripple effect in closing your organization’s skills gap empowers your workforce, ensures business continuity, saves your organization on capital costs and meets the evolving needs of your customers. Communicating reskilling and upskilling opportunities to your existing employees with respect, collaboration and transparency will help pave the way for success.</w:t>
      </w:r>
    </w:p>
    <w:p w14:paraId="17BE478C" w14:textId="77777777" w:rsidR="00860A2C" w:rsidRDefault="00860A2C"/>
    <w:sectPr w:rsidR="0086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0B43"/>
    <w:multiLevelType w:val="multilevel"/>
    <w:tmpl w:val="7CCC1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8660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E3"/>
    <w:rsid w:val="000215E3"/>
    <w:rsid w:val="0086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C903"/>
  <w15:chartTrackingRefBased/>
  <w15:docId w15:val="{E064F6DD-A6BD-47C7-93C1-341A1245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E3"/>
    <w:pPr>
      <w:spacing w:after="0" w:line="240" w:lineRule="auto"/>
    </w:pPr>
    <w:rPr>
      <w:rFonts w:ascii="Calibri" w:hAnsi="Calibri" w:cs="Calibri"/>
    </w:rPr>
  </w:style>
  <w:style w:type="paragraph" w:styleId="Heading1">
    <w:name w:val="heading 1"/>
    <w:basedOn w:val="Normal"/>
    <w:link w:val="Heading1Char"/>
    <w:uiPriority w:val="9"/>
    <w:qFormat/>
    <w:rsid w:val="000215E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215E3"/>
    <w:pPr>
      <w:spacing w:before="100" w:beforeAutospacing="1" w:after="100" w:afterAutospacing="1"/>
      <w:outlineLvl w:val="1"/>
    </w:pPr>
    <w:rPr>
      <w:b/>
      <w:bCs/>
      <w:sz w:val="36"/>
      <w:szCs w:val="36"/>
    </w:rPr>
  </w:style>
  <w:style w:type="paragraph" w:styleId="Heading5">
    <w:name w:val="heading 5"/>
    <w:basedOn w:val="Normal"/>
    <w:link w:val="Heading5Char"/>
    <w:uiPriority w:val="9"/>
    <w:semiHidden/>
    <w:unhideWhenUsed/>
    <w:qFormat/>
    <w:rsid w:val="000215E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E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215E3"/>
    <w:rPr>
      <w:rFonts w:ascii="Calibri" w:hAnsi="Calibri" w:cs="Calibri"/>
      <w:b/>
      <w:bCs/>
      <w:sz w:val="36"/>
      <w:szCs w:val="36"/>
    </w:rPr>
  </w:style>
  <w:style w:type="character" w:customStyle="1" w:styleId="Heading5Char">
    <w:name w:val="Heading 5 Char"/>
    <w:basedOn w:val="DefaultParagraphFont"/>
    <w:link w:val="Heading5"/>
    <w:uiPriority w:val="9"/>
    <w:semiHidden/>
    <w:rsid w:val="000215E3"/>
    <w:rPr>
      <w:rFonts w:ascii="Calibri" w:hAnsi="Calibri" w:cs="Calibri"/>
      <w:b/>
      <w:bCs/>
      <w:sz w:val="20"/>
      <w:szCs w:val="20"/>
    </w:rPr>
  </w:style>
  <w:style w:type="character" w:styleId="Hyperlink">
    <w:name w:val="Hyperlink"/>
    <w:basedOn w:val="DefaultParagraphFont"/>
    <w:uiPriority w:val="99"/>
    <w:semiHidden/>
    <w:unhideWhenUsed/>
    <w:rsid w:val="000215E3"/>
    <w:rPr>
      <w:color w:val="0000FF"/>
      <w:u w:val="single"/>
    </w:rPr>
  </w:style>
  <w:style w:type="character" w:styleId="Strong">
    <w:name w:val="Strong"/>
    <w:basedOn w:val="DefaultParagraphFont"/>
    <w:uiPriority w:val="22"/>
    <w:qFormat/>
    <w:rsid w:val="00021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aarp.org%2Fwork%2Fworking-at-50-plus%2Finfo-2021%2Fmanufacturing-training-programs.html&amp;data=05%7C01%7C%7Cc11da884d124467eea9c08da6db537f4%7Ce468147d05464aba972ffcb53b32830e%7C0%7C0%7C637942922327432467%7CUnknown%7CTWFpbGZsb3d8eyJWIjoiMC4wLjAwMDAiLCJQIjoiV2luMzIiLCJBTiI6Ik1haWwiLCJXVCI6Mn0%3D%7C3000%7C%7C%7C&amp;sdata=WFGuJGzldin9bERGSDo7eVD2yKLVha7CxWGJgblA2NY%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aarp.org%2Fhealth%2Fconditions-treatments%2Finfo-2020%2Fcoronavirus-facts.html&amp;data=05%7C01%7C%7Cc11da884d124467eea9c08da6db537f4%7Ce468147d05464aba972ffcb53b32830e%7C0%7C0%7C637942922327432467%7CUnknown%7CTWFpbGZsb3d8eyJWIjoiMC4wLjAwMDAiLCJQIjoiV2luMzIiLCJBTiI6Ik1haWwiLCJXVCI6Mn0%3D%7C3000%7C%7C%7C&amp;sdata=Nyfi1AItxZS4e33Fw%2FmYoSHU5P2K%2Fz2buH8wmQv%2Fwu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aarp.org%2Fespanol%2Ftrabajo%2Fempleadores%2Finfo-2021%2Fcapacitacion-para-empleados-a-mitad-de-su-carrera.html%3Fintcmp%3DAE-WORK-TOSPA-TOGL-ES&amp;data=05%7C01%7C%7Cc11da884d124467eea9c08da6db537f4%7Ce468147d05464aba972ffcb53b32830e%7C0%7C0%7C637942922327276722%7CUnknown%7CTWFpbGZsb3d8eyJWIjoiMC4wLjAwMDAiLCJQIjoiV2luMzIiLCJBTiI6Ik1haWwiLCJXVCI6Mn0%3D%7C3000%7C%7C%7C&amp;sdata=HrxGiiCbBaS4D9nZ34wX3qjRsLspITw%2F2I5n1VZCby8%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www.aarp.org%2Fwork%2Femployers%2Finfo-2021%2Fage-inclusive-training.html&amp;data=05%7C01%7C%7Cc11da884d124467eea9c08da6db537f4%7Ce468147d05464aba972ffcb53b32830e%7C0%7C0%7C637942922327432467%7CUnknown%7CTWFpbGZsb3d8eyJWIjoiMC4wLjAwMDAiLCJQIjoiV2luMzIiLCJBTiI6Ik1haWwiLCJXVCI6Mn0%3D%7C3000%7C%7C%7C&amp;sdata=yV2BUdYmNNLeslWixiI80UbGIVmgD69BZsLFoUQlCS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Jaegers - 337 DOS</dc:creator>
  <cp:keywords/>
  <dc:description/>
  <cp:lastModifiedBy>Lorie Jaegers - 337 DOS</cp:lastModifiedBy>
  <cp:revision>1</cp:revision>
  <dcterms:created xsi:type="dcterms:W3CDTF">2022-07-26T18:25:00Z</dcterms:created>
  <dcterms:modified xsi:type="dcterms:W3CDTF">2022-07-26T18:26:00Z</dcterms:modified>
</cp:coreProperties>
</file>